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ADC2" w14:textId="2A5F13F3" w:rsidR="00304660" w:rsidRPr="002E252D" w:rsidRDefault="0074019B" w:rsidP="002E252D">
      <w:pPr>
        <w:jc w:val="both"/>
        <w:rPr>
          <w:rFonts w:ascii="Helvetica" w:hAnsi="Helvetica" w:cstheme="minorHAnsi"/>
          <w:b/>
          <w:bCs/>
          <w:sz w:val="44"/>
          <w:szCs w:val="44"/>
        </w:rPr>
      </w:pPr>
      <w:r w:rsidRPr="002E252D">
        <w:rPr>
          <w:rFonts w:ascii="Helvetica" w:hAnsi="Helvetica" w:cstheme="minorHAnsi"/>
          <w:b/>
          <w:bCs/>
          <w:sz w:val="44"/>
          <w:szCs w:val="44"/>
        </w:rPr>
        <w:t xml:space="preserve">AAP </w:t>
      </w:r>
      <w:r w:rsidR="005C64A9">
        <w:rPr>
          <w:rFonts w:ascii="Helvetica" w:hAnsi="Helvetica" w:cstheme="minorHAnsi"/>
          <w:b/>
          <w:bCs/>
          <w:sz w:val="44"/>
          <w:szCs w:val="44"/>
        </w:rPr>
        <w:t>France</w:t>
      </w:r>
      <w:r w:rsidR="00304660" w:rsidRPr="002E252D">
        <w:rPr>
          <w:rFonts w:ascii="Helvetica" w:hAnsi="Helvetica" w:cstheme="minorHAnsi"/>
          <w:b/>
          <w:bCs/>
          <w:sz w:val="44"/>
          <w:szCs w:val="44"/>
        </w:rPr>
        <w:t xml:space="preserve"> 2023 - Atelier de lancement</w:t>
      </w:r>
    </w:p>
    <w:p w14:paraId="4413A31B" w14:textId="6B2F986F" w:rsidR="006D084D" w:rsidRPr="002E252D" w:rsidRDefault="006D084D" w:rsidP="002E252D">
      <w:pPr>
        <w:jc w:val="both"/>
        <w:rPr>
          <w:rFonts w:ascii="Helvetica" w:hAnsi="Helvetica" w:cstheme="minorHAnsi"/>
          <w:b/>
          <w:bCs/>
          <w:sz w:val="36"/>
          <w:szCs w:val="36"/>
        </w:rPr>
      </w:pPr>
      <w:r w:rsidRPr="002E252D">
        <w:rPr>
          <w:rFonts w:ascii="Helvetica" w:hAnsi="Helvetica" w:cstheme="minorHAnsi"/>
          <w:b/>
          <w:bCs/>
          <w:sz w:val="36"/>
          <w:szCs w:val="36"/>
        </w:rPr>
        <w:t>2</w:t>
      </w:r>
      <w:r w:rsidR="005C64A9">
        <w:rPr>
          <w:rFonts w:ascii="Helvetica" w:hAnsi="Helvetica" w:cstheme="minorHAnsi"/>
          <w:b/>
          <w:bCs/>
          <w:sz w:val="36"/>
          <w:szCs w:val="36"/>
        </w:rPr>
        <w:t>6</w:t>
      </w:r>
      <w:r w:rsidRPr="002E252D">
        <w:rPr>
          <w:rFonts w:ascii="Helvetica" w:hAnsi="Helvetica" w:cstheme="minorHAnsi"/>
          <w:b/>
          <w:bCs/>
          <w:sz w:val="36"/>
          <w:szCs w:val="36"/>
        </w:rPr>
        <w:t xml:space="preserve"> juillet 2023</w:t>
      </w:r>
    </w:p>
    <w:p w14:paraId="14E174D2" w14:textId="284B64E5" w:rsidR="00304660" w:rsidRPr="002E252D" w:rsidRDefault="00304660" w:rsidP="002E252D">
      <w:pPr>
        <w:jc w:val="both"/>
        <w:rPr>
          <w:rFonts w:ascii="Helvetica" w:hAnsi="Helvetica" w:cstheme="minorHAnsi"/>
        </w:rPr>
      </w:pPr>
    </w:p>
    <w:p w14:paraId="6F6A7F67" w14:textId="77777777" w:rsidR="00304660" w:rsidRPr="002E252D" w:rsidRDefault="00304660" w:rsidP="002E252D">
      <w:pPr>
        <w:jc w:val="both"/>
        <w:rPr>
          <w:rFonts w:ascii="Helvetica" w:hAnsi="Helvetica" w:cstheme="minorHAnsi"/>
        </w:rPr>
      </w:pPr>
    </w:p>
    <w:p w14:paraId="0D109AF1" w14:textId="007E9939" w:rsidR="006D084D" w:rsidRPr="00051043" w:rsidRDefault="0074019B" w:rsidP="002E252D">
      <w:pPr>
        <w:jc w:val="both"/>
        <w:rPr>
          <w:rFonts w:ascii="Helvetica" w:hAnsi="Helvetica" w:cstheme="minorHAnsi"/>
          <w:b/>
          <w:bCs/>
          <w:color w:val="4472C4" w:themeColor="accent1"/>
          <w:sz w:val="48"/>
          <w:szCs w:val="48"/>
        </w:rPr>
      </w:pPr>
      <w:r w:rsidRPr="002E252D">
        <w:rPr>
          <w:rFonts w:ascii="Helvetica" w:hAnsi="Helvetica" w:cstheme="minorHAnsi"/>
          <w:b/>
          <w:bCs/>
          <w:color w:val="4472C4" w:themeColor="accent1"/>
          <w:sz w:val="48"/>
          <w:szCs w:val="48"/>
        </w:rPr>
        <w:t>Questions / Réponses</w:t>
      </w:r>
    </w:p>
    <w:p w14:paraId="79F06E31" w14:textId="77777777" w:rsidR="00304660" w:rsidRPr="002E252D" w:rsidRDefault="00304660" w:rsidP="002E252D">
      <w:pPr>
        <w:jc w:val="both"/>
        <w:rPr>
          <w:rFonts w:ascii="Helvetica" w:hAnsi="Helvetica" w:cstheme="minorHAnsi"/>
          <w:b/>
          <w:bCs/>
        </w:rPr>
      </w:pPr>
    </w:p>
    <w:p w14:paraId="7CB7E824" w14:textId="2E8B8D1F" w:rsidR="0074019B" w:rsidRPr="002E252D" w:rsidRDefault="00B20ECC" w:rsidP="002E252D">
      <w:pPr>
        <w:jc w:val="both"/>
        <w:rPr>
          <w:rFonts w:ascii="Helvetica" w:hAnsi="Helvetica" w:cstheme="minorHAnsi"/>
          <w:b/>
          <w:bCs/>
          <w:sz w:val="28"/>
          <w:szCs w:val="28"/>
        </w:rPr>
      </w:pPr>
      <w:r>
        <w:rPr>
          <w:rFonts w:ascii="Helvetica" w:hAnsi="Helvetica" w:cstheme="minorHAnsi"/>
          <w:b/>
          <w:bCs/>
          <w:sz w:val="28"/>
          <w:szCs w:val="28"/>
        </w:rPr>
        <w:t>Dépenses éligibles pour les aides à la vie quotidienne</w:t>
      </w:r>
    </w:p>
    <w:p w14:paraId="4C4A3924" w14:textId="77777777" w:rsidR="009E0180" w:rsidRPr="002E252D" w:rsidRDefault="009E0180" w:rsidP="002E252D">
      <w:pPr>
        <w:jc w:val="both"/>
        <w:rPr>
          <w:rFonts w:ascii="Helvetica" w:hAnsi="Helvetica" w:cstheme="minorHAnsi"/>
        </w:rPr>
      </w:pPr>
    </w:p>
    <w:p w14:paraId="16973CD8" w14:textId="7EBCA9F2" w:rsidR="00F15340" w:rsidRPr="007472A1" w:rsidRDefault="006D084D" w:rsidP="002E252D">
      <w:pPr>
        <w:jc w:val="both"/>
        <w:rPr>
          <w:rFonts w:ascii="Helvetica" w:hAnsi="Helvetica" w:cstheme="minorHAnsi"/>
          <w:i/>
          <w:iCs/>
          <w:color w:val="000000" w:themeColor="text1"/>
        </w:rPr>
      </w:pPr>
      <w:r w:rsidRPr="007472A1">
        <w:rPr>
          <w:rFonts w:ascii="Helvetica" w:hAnsi="Helvetica" w:cstheme="minorHAnsi"/>
          <w:i/>
          <w:iCs/>
          <w:color w:val="000000" w:themeColor="text1"/>
        </w:rPr>
        <w:t>« </w:t>
      </w:r>
      <w:r w:rsidR="007472A1" w:rsidRPr="007472A1">
        <w:rPr>
          <w:rFonts w:ascii="Helvetica" w:hAnsi="Helvetica" w:cstheme="minorHAnsi"/>
          <w:i/>
          <w:iCs/>
          <w:color w:val="000000" w:themeColor="text1"/>
        </w:rPr>
        <w:t>Peut-on acheter des couches pour bébé hors chèques services, dans la mesure où nous bénéficions d’un tarif négocié avec un fournisseur, qui nous permet de réaliser une économie de l’ordre de 60% par rapport au prix du marché et qu’on ne peut pas régler en chèques services ? »</w:t>
      </w:r>
    </w:p>
    <w:p w14:paraId="3B1195C2" w14:textId="3EE751D5" w:rsidR="0045727D" w:rsidRPr="002E252D" w:rsidRDefault="0045727D" w:rsidP="002E252D">
      <w:pPr>
        <w:jc w:val="both"/>
        <w:rPr>
          <w:rFonts w:ascii="Helvetica" w:hAnsi="Helvetica" w:cstheme="minorHAnsi"/>
          <w:color w:val="000000" w:themeColor="text1"/>
        </w:rPr>
      </w:pPr>
    </w:p>
    <w:p w14:paraId="4B3B204F" w14:textId="6D4FE8CF" w:rsidR="0074019B" w:rsidRPr="00302BEE" w:rsidRDefault="0074019B" w:rsidP="002E252D">
      <w:pPr>
        <w:ind w:left="708"/>
        <w:jc w:val="both"/>
        <w:rPr>
          <w:rFonts w:ascii="Helvetica" w:hAnsi="Helvetica" w:cstheme="minorHAnsi"/>
          <w:b/>
          <w:bCs/>
          <w:color w:val="000000" w:themeColor="text1"/>
        </w:rPr>
      </w:pPr>
      <w:r w:rsidRPr="00302BEE">
        <w:rPr>
          <w:rFonts w:ascii="Helvetica" w:hAnsi="Helvetica" w:cstheme="minorHAnsi"/>
          <w:b/>
          <w:bCs/>
          <w:color w:val="000000" w:themeColor="text1"/>
        </w:rPr>
        <w:t>Notre réponse :</w:t>
      </w:r>
    </w:p>
    <w:p w14:paraId="7A7A826A" w14:textId="77777777" w:rsidR="007472A1" w:rsidRDefault="007472A1" w:rsidP="007472A1">
      <w:pPr>
        <w:jc w:val="both"/>
        <w:rPr>
          <w:rFonts w:ascii="Helvetica" w:hAnsi="Helvetica" w:cstheme="minorHAnsi"/>
          <w:color w:val="000000" w:themeColor="text1"/>
        </w:rPr>
      </w:pPr>
    </w:p>
    <w:p w14:paraId="6B2B2D9E" w14:textId="4DA592F4" w:rsidR="0074019B" w:rsidRDefault="007472A1" w:rsidP="007472A1">
      <w:pPr>
        <w:jc w:val="both"/>
        <w:rPr>
          <w:rFonts w:ascii="Helvetica" w:hAnsi="Helvetica" w:cstheme="minorHAnsi"/>
          <w:color w:val="000000" w:themeColor="text1"/>
        </w:rPr>
      </w:pPr>
      <w:r>
        <w:rPr>
          <w:rFonts w:ascii="Helvetica" w:hAnsi="Helvetica" w:cstheme="minorHAnsi"/>
          <w:color w:val="000000" w:themeColor="text1"/>
        </w:rPr>
        <w:t>Oui c’est possible, les dépenses pour l’alimentaire et les produits d’hygiène hors chèques services sont éligibles, dans la mesure où l’association candidate les justifie précisément comme vous venez de le faire.</w:t>
      </w:r>
    </w:p>
    <w:p w14:paraId="7DE98174" w14:textId="64038809" w:rsidR="0090330F" w:rsidRDefault="0090330F" w:rsidP="0090330F">
      <w:pPr>
        <w:jc w:val="both"/>
        <w:rPr>
          <w:rFonts w:ascii="Helvetica" w:hAnsi="Helvetica" w:cstheme="minorHAnsi"/>
          <w:color w:val="000000" w:themeColor="text1"/>
        </w:rPr>
      </w:pPr>
    </w:p>
    <w:p w14:paraId="7686A299" w14:textId="77777777" w:rsidR="007472A1" w:rsidRDefault="007472A1" w:rsidP="0090330F">
      <w:pPr>
        <w:jc w:val="both"/>
        <w:rPr>
          <w:rFonts w:ascii="Helvetica" w:hAnsi="Helvetica" w:cstheme="minorHAnsi"/>
          <w:color w:val="000000" w:themeColor="text1"/>
        </w:rPr>
      </w:pPr>
    </w:p>
    <w:p w14:paraId="78E971C7" w14:textId="41E5372A" w:rsidR="0090330F" w:rsidRPr="002E6583" w:rsidRDefault="0090330F" w:rsidP="0090330F">
      <w:pPr>
        <w:jc w:val="both"/>
        <w:rPr>
          <w:rFonts w:ascii="Helvetica" w:hAnsi="Helvetica" w:cstheme="minorHAnsi"/>
          <w:i/>
          <w:iCs/>
          <w:color w:val="000000" w:themeColor="text1"/>
        </w:rPr>
      </w:pPr>
      <w:r w:rsidRPr="002E6583">
        <w:rPr>
          <w:rFonts w:ascii="Helvetica" w:hAnsi="Helvetica" w:cstheme="minorHAnsi"/>
          <w:i/>
          <w:iCs/>
          <w:color w:val="000000" w:themeColor="text1"/>
        </w:rPr>
        <w:t>« Dans les dépenses éligibles il est noté « frais de soins et de médicaments : non pris en charge »</w:t>
      </w:r>
      <w:r w:rsidR="002E6583" w:rsidRPr="002E6583">
        <w:rPr>
          <w:rFonts w:ascii="Helvetica" w:hAnsi="Helvetica" w:cstheme="minorHAnsi"/>
          <w:i/>
          <w:iCs/>
          <w:color w:val="000000" w:themeColor="text1"/>
        </w:rPr>
        <w:t xml:space="preserve">, est-ce à dire que ce n’est pas une ligne ouverte à </w:t>
      </w:r>
      <w:r w:rsidR="007472A1">
        <w:rPr>
          <w:rFonts w:ascii="Helvetica" w:hAnsi="Helvetica" w:cstheme="minorHAnsi"/>
          <w:i/>
          <w:iCs/>
          <w:color w:val="000000" w:themeColor="text1"/>
        </w:rPr>
        <w:t xml:space="preserve">un </w:t>
      </w:r>
      <w:r w:rsidR="002E6583" w:rsidRPr="002E6583">
        <w:rPr>
          <w:rFonts w:ascii="Helvetica" w:hAnsi="Helvetica" w:cstheme="minorHAnsi"/>
          <w:i/>
          <w:iCs/>
          <w:color w:val="000000" w:themeColor="text1"/>
        </w:rPr>
        <w:t>financement de Solidarité Sida ? »</w:t>
      </w:r>
    </w:p>
    <w:p w14:paraId="3A2C0E28" w14:textId="32913D79" w:rsidR="0090330F" w:rsidRDefault="0090330F" w:rsidP="0090330F">
      <w:pPr>
        <w:jc w:val="both"/>
        <w:rPr>
          <w:rFonts w:ascii="Helvetica" w:hAnsi="Helvetica" w:cstheme="minorHAnsi"/>
          <w:color w:val="000000" w:themeColor="text1"/>
        </w:rPr>
      </w:pPr>
    </w:p>
    <w:p w14:paraId="08F01B22" w14:textId="5A4CE96D" w:rsidR="0090330F" w:rsidRDefault="0090330F" w:rsidP="0090330F">
      <w:pPr>
        <w:ind w:left="708"/>
        <w:jc w:val="both"/>
        <w:rPr>
          <w:rFonts w:ascii="Helvetica" w:hAnsi="Helvetica" w:cstheme="minorHAnsi"/>
          <w:b/>
          <w:bCs/>
          <w:color w:val="000000" w:themeColor="text1"/>
        </w:rPr>
      </w:pPr>
      <w:r w:rsidRPr="00302BEE">
        <w:rPr>
          <w:rFonts w:ascii="Helvetica" w:hAnsi="Helvetica" w:cstheme="minorHAnsi"/>
          <w:b/>
          <w:bCs/>
          <w:color w:val="000000" w:themeColor="text1"/>
        </w:rPr>
        <w:t>Notre réponse :</w:t>
      </w:r>
    </w:p>
    <w:p w14:paraId="53A3E6A5" w14:textId="77777777" w:rsidR="0090330F" w:rsidRPr="0090330F" w:rsidRDefault="0090330F" w:rsidP="0090330F">
      <w:pPr>
        <w:ind w:left="708"/>
        <w:jc w:val="both"/>
        <w:rPr>
          <w:rFonts w:ascii="Helvetica" w:hAnsi="Helvetica" w:cstheme="minorHAnsi"/>
          <w:b/>
          <w:bCs/>
          <w:color w:val="000000" w:themeColor="text1"/>
        </w:rPr>
      </w:pPr>
    </w:p>
    <w:p w14:paraId="636BF31C" w14:textId="47A432CF" w:rsidR="0090330F" w:rsidRDefault="0090330F" w:rsidP="0090330F">
      <w:pPr>
        <w:ind w:left="709"/>
        <w:jc w:val="both"/>
        <w:rPr>
          <w:rFonts w:ascii="Helvetica" w:hAnsi="Helvetica" w:cstheme="minorHAnsi"/>
          <w:color w:val="000000" w:themeColor="text1"/>
        </w:rPr>
      </w:pPr>
      <w:r>
        <w:rPr>
          <w:rFonts w:ascii="Helvetica" w:hAnsi="Helvetica" w:cstheme="minorHAnsi"/>
          <w:color w:val="000000" w:themeColor="text1"/>
        </w:rPr>
        <w:t>Non, cette mention est tronquée, il s’agit bien d’une dépense éligible qui vise à couvrir le financement de</w:t>
      </w:r>
      <w:r w:rsidR="007472A1">
        <w:rPr>
          <w:rFonts w:ascii="Helvetica" w:hAnsi="Helvetica" w:cstheme="minorHAnsi"/>
          <w:color w:val="000000" w:themeColor="text1"/>
        </w:rPr>
        <w:t xml:space="preserve"> « frais de soins et </w:t>
      </w:r>
      <w:r>
        <w:rPr>
          <w:rFonts w:ascii="Helvetica" w:hAnsi="Helvetica" w:cstheme="minorHAnsi"/>
          <w:color w:val="000000" w:themeColor="text1"/>
        </w:rPr>
        <w:t xml:space="preserve">de médicaments </w:t>
      </w:r>
      <w:r w:rsidR="007472A1">
        <w:rPr>
          <w:rFonts w:ascii="Helvetica" w:hAnsi="Helvetica" w:cstheme="minorHAnsi"/>
          <w:color w:val="000000" w:themeColor="text1"/>
        </w:rPr>
        <w:t>non pris en charge par la sécurité sociale qui représentent un reste à charge pour les personnes » (voir cadre de l’appel à projets).</w:t>
      </w:r>
    </w:p>
    <w:p w14:paraId="4A3B7337" w14:textId="013E18B4" w:rsidR="00874DED" w:rsidRDefault="00874DED" w:rsidP="00874DED">
      <w:pPr>
        <w:jc w:val="both"/>
        <w:rPr>
          <w:rFonts w:ascii="Helvetica" w:hAnsi="Helvetica" w:cstheme="minorHAnsi"/>
          <w:color w:val="000000" w:themeColor="text1"/>
        </w:rPr>
      </w:pPr>
    </w:p>
    <w:p w14:paraId="46465B47" w14:textId="77777777" w:rsidR="007472A1" w:rsidRDefault="007472A1" w:rsidP="00874DED">
      <w:pPr>
        <w:jc w:val="both"/>
        <w:rPr>
          <w:rFonts w:ascii="Helvetica" w:hAnsi="Helvetica" w:cstheme="minorHAnsi"/>
          <w:color w:val="000000" w:themeColor="text1"/>
        </w:rPr>
      </w:pPr>
    </w:p>
    <w:p w14:paraId="0E2FC051" w14:textId="51C80FDA" w:rsidR="00874DED" w:rsidRPr="007412EF" w:rsidRDefault="00874DED" w:rsidP="00874DED">
      <w:pPr>
        <w:jc w:val="both"/>
        <w:rPr>
          <w:rFonts w:ascii="Helvetica" w:hAnsi="Helvetica" w:cstheme="minorHAnsi"/>
          <w:i/>
          <w:iCs/>
          <w:color w:val="000000" w:themeColor="text1"/>
        </w:rPr>
      </w:pPr>
      <w:r w:rsidRPr="007412EF">
        <w:rPr>
          <w:rFonts w:ascii="Helvetica" w:hAnsi="Helvetica" w:cstheme="minorHAnsi"/>
          <w:i/>
          <w:iCs/>
          <w:color w:val="000000" w:themeColor="text1"/>
        </w:rPr>
        <w:t>« </w:t>
      </w:r>
      <w:r w:rsidR="007472A1">
        <w:rPr>
          <w:rFonts w:ascii="Helvetica" w:hAnsi="Helvetica" w:cstheme="minorHAnsi"/>
          <w:i/>
          <w:iCs/>
          <w:color w:val="000000" w:themeColor="text1"/>
        </w:rPr>
        <w:t>Nous avons entendu dire qu’en raison des JO 2024,</w:t>
      </w:r>
      <w:r w:rsidR="007412EF" w:rsidRPr="007412EF">
        <w:rPr>
          <w:rFonts w:ascii="Helvetica" w:hAnsi="Helvetica" w:cstheme="minorHAnsi"/>
          <w:i/>
          <w:iCs/>
          <w:color w:val="000000" w:themeColor="text1"/>
        </w:rPr>
        <w:t xml:space="preserve"> un certain nombre de festivals et évènements publics seraient supprimés</w:t>
      </w:r>
      <w:r w:rsidR="007472A1">
        <w:rPr>
          <w:rFonts w:ascii="Helvetica" w:hAnsi="Helvetica" w:cstheme="minorHAnsi"/>
          <w:i/>
          <w:iCs/>
          <w:color w:val="000000" w:themeColor="text1"/>
        </w:rPr>
        <w:t xml:space="preserve">. Qu’en est-il de Solidays 2024 ? </w:t>
      </w:r>
      <w:r w:rsidR="007412EF" w:rsidRPr="007412EF">
        <w:rPr>
          <w:rFonts w:ascii="Helvetica" w:hAnsi="Helvetica" w:cstheme="minorHAnsi"/>
          <w:i/>
          <w:iCs/>
          <w:color w:val="000000" w:themeColor="text1"/>
        </w:rPr>
        <w:t>»</w:t>
      </w:r>
    </w:p>
    <w:p w14:paraId="5DC345E2" w14:textId="275CE125" w:rsidR="007412EF" w:rsidRDefault="007412EF" w:rsidP="00874DED">
      <w:pPr>
        <w:jc w:val="both"/>
        <w:rPr>
          <w:rFonts w:ascii="Helvetica" w:hAnsi="Helvetica" w:cstheme="minorHAnsi"/>
          <w:color w:val="000000" w:themeColor="text1"/>
        </w:rPr>
      </w:pPr>
    </w:p>
    <w:p w14:paraId="2BE5A1CD" w14:textId="77777777" w:rsidR="007412EF" w:rsidRPr="00302BEE" w:rsidRDefault="007412EF" w:rsidP="007412EF">
      <w:pPr>
        <w:ind w:left="708"/>
        <w:jc w:val="both"/>
        <w:rPr>
          <w:rFonts w:ascii="Helvetica" w:hAnsi="Helvetica" w:cstheme="minorHAnsi"/>
          <w:b/>
          <w:bCs/>
          <w:color w:val="000000" w:themeColor="text1"/>
        </w:rPr>
      </w:pPr>
      <w:r w:rsidRPr="00302BEE">
        <w:rPr>
          <w:rFonts w:ascii="Helvetica" w:hAnsi="Helvetica" w:cstheme="minorHAnsi"/>
          <w:b/>
          <w:bCs/>
          <w:color w:val="000000" w:themeColor="text1"/>
        </w:rPr>
        <w:t>Notre réponse :</w:t>
      </w:r>
    </w:p>
    <w:p w14:paraId="31360D74" w14:textId="237D0EA4" w:rsidR="007412EF" w:rsidRDefault="007412EF" w:rsidP="00874DED">
      <w:pPr>
        <w:jc w:val="both"/>
        <w:rPr>
          <w:rFonts w:ascii="Helvetica" w:hAnsi="Helvetica" w:cstheme="minorHAnsi"/>
          <w:color w:val="000000" w:themeColor="text1"/>
        </w:rPr>
      </w:pPr>
    </w:p>
    <w:p w14:paraId="0FA779E8" w14:textId="5DC54289" w:rsidR="007412EF" w:rsidRPr="00874DED" w:rsidRDefault="007472A1" w:rsidP="00051043">
      <w:pPr>
        <w:ind w:left="709"/>
        <w:jc w:val="both"/>
        <w:rPr>
          <w:rFonts w:ascii="Helvetica" w:hAnsi="Helvetica" w:cstheme="minorHAnsi"/>
          <w:color w:val="000000" w:themeColor="text1"/>
        </w:rPr>
      </w:pPr>
      <w:r>
        <w:rPr>
          <w:rFonts w:ascii="Helvetica" w:hAnsi="Helvetica" w:cstheme="minorHAnsi"/>
          <w:color w:val="000000" w:themeColor="text1"/>
        </w:rPr>
        <w:t>L’édition de Solidays 2024 est bien prévue au calendrier</w:t>
      </w:r>
      <w:r w:rsidR="00051043">
        <w:rPr>
          <w:rFonts w:ascii="Helvetica" w:hAnsi="Helvetica" w:cstheme="minorHAnsi"/>
          <w:color w:val="000000" w:themeColor="text1"/>
        </w:rPr>
        <w:t xml:space="preserve"> Solidarité Sida pour le dernier week-end du mois de </w:t>
      </w:r>
      <w:r w:rsidR="009E0180">
        <w:rPr>
          <w:rFonts w:ascii="Helvetica" w:hAnsi="Helvetica" w:cstheme="minorHAnsi"/>
          <w:color w:val="000000" w:themeColor="text1"/>
        </w:rPr>
        <w:t>juin</w:t>
      </w:r>
      <w:r w:rsidR="00051043">
        <w:rPr>
          <w:rFonts w:ascii="Helvetica" w:hAnsi="Helvetica" w:cstheme="minorHAnsi"/>
          <w:color w:val="000000" w:themeColor="text1"/>
        </w:rPr>
        <w:t xml:space="preserve"> à Longchamp.</w:t>
      </w:r>
    </w:p>
    <w:sectPr w:rsidR="007412EF" w:rsidRPr="00874DE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AA21" w14:textId="77777777" w:rsidR="006B508A" w:rsidRDefault="006B508A" w:rsidP="00656F85">
      <w:r>
        <w:separator/>
      </w:r>
    </w:p>
  </w:endnote>
  <w:endnote w:type="continuationSeparator" w:id="0">
    <w:p w14:paraId="19C4CB7F" w14:textId="77777777" w:rsidR="006B508A" w:rsidRDefault="006B508A" w:rsidP="0065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32115647"/>
      <w:docPartObj>
        <w:docPartGallery w:val="Page Numbers (Bottom of Page)"/>
        <w:docPartUnique/>
      </w:docPartObj>
    </w:sdtPr>
    <w:sdtContent>
      <w:p w14:paraId="6210F50F" w14:textId="5F9DAEF8" w:rsidR="00656F85" w:rsidRDefault="00656F85" w:rsidP="00F101C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37FF8EAB" w14:textId="77777777" w:rsidR="00656F85" w:rsidRDefault="00656F85" w:rsidP="00656F8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14646095"/>
      <w:docPartObj>
        <w:docPartGallery w:val="Page Numbers (Bottom of Page)"/>
        <w:docPartUnique/>
      </w:docPartObj>
    </w:sdtPr>
    <w:sdtEndPr>
      <w:rPr>
        <w:rStyle w:val="Numrodepage"/>
        <w:rFonts w:ascii="Helvetica" w:hAnsi="Helvetica"/>
        <w:sz w:val="20"/>
        <w:szCs w:val="20"/>
      </w:rPr>
    </w:sdtEndPr>
    <w:sdtContent>
      <w:p w14:paraId="4A943778" w14:textId="7106B85E" w:rsidR="00656F85" w:rsidRPr="00656F85" w:rsidRDefault="00656F85" w:rsidP="00F101C5">
        <w:pPr>
          <w:pStyle w:val="Pieddepage"/>
          <w:framePr w:wrap="none" w:vAnchor="text" w:hAnchor="margin" w:xAlign="right" w:y="1"/>
          <w:rPr>
            <w:rStyle w:val="Numrodepage"/>
            <w:rFonts w:ascii="Helvetica" w:hAnsi="Helvetica"/>
            <w:sz w:val="20"/>
            <w:szCs w:val="20"/>
          </w:rPr>
        </w:pPr>
        <w:r w:rsidRPr="00656F85">
          <w:rPr>
            <w:rStyle w:val="Numrodepage"/>
            <w:rFonts w:ascii="Helvetica" w:hAnsi="Helvetica"/>
            <w:sz w:val="20"/>
            <w:szCs w:val="20"/>
          </w:rPr>
          <w:fldChar w:fldCharType="begin"/>
        </w:r>
        <w:r w:rsidRPr="00656F85">
          <w:rPr>
            <w:rStyle w:val="Numrodepage"/>
            <w:rFonts w:ascii="Helvetica" w:hAnsi="Helvetica"/>
            <w:sz w:val="20"/>
            <w:szCs w:val="20"/>
          </w:rPr>
          <w:instrText xml:space="preserve"> PAGE </w:instrText>
        </w:r>
        <w:r w:rsidRPr="00656F85">
          <w:rPr>
            <w:rStyle w:val="Numrodepage"/>
            <w:rFonts w:ascii="Helvetica" w:hAnsi="Helvetica"/>
            <w:sz w:val="20"/>
            <w:szCs w:val="20"/>
          </w:rPr>
          <w:fldChar w:fldCharType="separate"/>
        </w:r>
        <w:r w:rsidRPr="00656F85">
          <w:rPr>
            <w:rStyle w:val="Numrodepage"/>
            <w:rFonts w:ascii="Helvetica" w:hAnsi="Helvetica"/>
            <w:noProof/>
            <w:sz w:val="20"/>
            <w:szCs w:val="20"/>
          </w:rPr>
          <w:t>1</w:t>
        </w:r>
        <w:r w:rsidRPr="00656F85">
          <w:rPr>
            <w:rStyle w:val="Numrodepage"/>
            <w:rFonts w:ascii="Helvetica" w:hAnsi="Helvetica"/>
            <w:sz w:val="20"/>
            <w:szCs w:val="20"/>
          </w:rPr>
          <w:fldChar w:fldCharType="end"/>
        </w:r>
      </w:p>
    </w:sdtContent>
  </w:sdt>
  <w:p w14:paraId="437069B6" w14:textId="77777777" w:rsidR="00656F85" w:rsidRPr="00656F85" w:rsidRDefault="00656F85" w:rsidP="00656F85">
    <w:pPr>
      <w:pStyle w:val="Pieddepage"/>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1C4B" w14:textId="77777777" w:rsidR="006B508A" w:rsidRDefault="006B508A" w:rsidP="00656F85">
      <w:r>
        <w:separator/>
      </w:r>
    </w:p>
  </w:footnote>
  <w:footnote w:type="continuationSeparator" w:id="0">
    <w:p w14:paraId="39D89803" w14:textId="77777777" w:rsidR="006B508A" w:rsidRDefault="006B508A" w:rsidP="00656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196"/>
    <w:multiLevelType w:val="hybridMultilevel"/>
    <w:tmpl w:val="EAFECF30"/>
    <w:lvl w:ilvl="0" w:tplc="B32C5268">
      <w:numFmt w:val="bullet"/>
      <w:lvlText w:val="-"/>
      <w:lvlJc w:val="left"/>
      <w:pPr>
        <w:ind w:left="720" w:hanging="360"/>
      </w:pPr>
      <w:rPr>
        <w:rFonts w:ascii="Helvetica Neue" w:eastAsiaTheme="minorHAnsi" w:hAnsi="Helvetica Neue" w:cs="Helvetica Neue" w:hint="default"/>
        <w:color w:val="1A1924"/>
        <w:sz w:val="2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859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7D"/>
    <w:rsid w:val="00025722"/>
    <w:rsid w:val="00051043"/>
    <w:rsid w:val="000937F8"/>
    <w:rsid w:val="000F7E69"/>
    <w:rsid w:val="00250BD7"/>
    <w:rsid w:val="002E252D"/>
    <w:rsid w:val="002E6583"/>
    <w:rsid w:val="00302BEE"/>
    <w:rsid w:val="00304660"/>
    <w:rsid w:val="0045727D"/>
    <w:rsid w:val="004C4723"/>
    <w:rsid w:val="00585A01"/>
    <w:rsid w:val="005C64A9"/>
    <w:rsid w:val="005D353A"/>
    <w:rsid w:val="00656F85"/>
    <w:rsid w:val="006B508A"/>
    <w:rsid w:val="006D084D"/>
    <w:rsid w:val="0074019B"/>
    <w:rsid w:val="007412EF"/>
    <w:rsid w:val="007472A1"/>
    <w:rsid w:val="00757D38"/>
    <w:rsid w:val="00874DED"/>
    <w:rsid w:val="008C3953"/>
    <w:rsid w:val="0090330F"/>
    <w:rsid w:val="00992DFF"/>
    <w:rsid w:val="009E0180"/>
    <w:rsid w:val="00B20ECC"/>
    <w:rsid w:val="00C235FB"/>
    <w:rsid w:val="00D16521"/>
    <w:rsid w:val="00D74A4D"/>
    <w:rsid w:val="00D916C8"/>
    <w:rsid w:val="00D96E1C"/>
    <w:rsid w:val="00DC02D1"/>
    <w:rsid w:val="00E15D44"/>
    <w:rsid w:val="00F15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56D09E"/>
  <w15:chartTrackingRefBased/>
  <w15:docId w15:val="{6F6F1E83-3991-604A-80E1-BB3A7FEA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019B"/>
    <w:pPr>
      <w:ind w:left="720"/>
      <w:contextualSpacing/>
    </w:pPr>
  </w:style>
  <w:style w:type="paragraph" w:styleId="Rvision">
    <w:name w:val="Revision"/>
    <w:hidden/>
    <w:uiPriority w:val="99"/>
    <w:semiHidden/>
    <w:rsid w:val="00E15D44"/>
  </w:style>
  <w:style w:type="paragraph" w:styleId="Pieddepage">
    <w:name w:val="footer"/>
    <w:basedOn w:val="Normal"/>
    <w:link w:val="PieddepageCar"/>
    <w:uiPriority w:val="99"/>
    <w:unhideWhenUsed/>
    <w:rsid w:val="00656F85"/>
    <w:pPr>
      <w:tabs>
        <w:tab w:val="center" w:pos="4536"/>
        <w:tab w:val="right" w:pos="9072"/>
      </w:tabs>
    </w:pPr>
  </w:style>
  <w:style w:type="character" w:customStyle="1" w:styleId="PieddepageCar">
    <w:name w:val="Pied de page Car"/>
    <w:basedOn w:val="Policepardfaut"/>
    <w:link w:val="Pieddepage"/>
    <w:uiPriority w:val="99"/>
    <w:rsid w:val="00656F85"/>
  </w:style>
  <w:style w:type="character" w:styleId="Numrodepage">
    <w:name w:val="page number"/>
    <w:basedOn w:val="Policepardfaut"/>
    <w:uiPriority w:val="99"/>
    <w:semiHidden/>
    <w:unhideWhenUsed/>
    <w:rsid w:val="00656F85"/>
  </w:style>
  <w:style w:type="paragraph" w:styleId="En-tte">
    <w:name w:val="header"/>
    <w:basedOn w:val="Normal"/>
    <w:link w:val="En-tteCar"/>
    <w:uiPriority w:val="99"/>
    <w:unhideWhenUsed/>
    <w:rsid w:val="00656F85"/>
    <w:pPr>
      <w:tabs>
        <w:tab w:val="center" w:pos="4536"/>
        <w:tab w:val="right" w:pos="9072"/>
      </w:tabs>
    </w:pPr>
  </w:style>
  <w:style w:type="character" w:customStyle="1" w:styleId="En-tteCar">
    <w:name w:val="En-tête Car"/>
    <w:basedOn w:val="Policepardfaut"/>
    <w:link w:val="En-tte"/>
    <w:uiPriority w:val="99"/>
    <w:rsid w:val="0065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2AA8-B3F0-054E-AEF2-BBE4E19A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221</Words>
  <Characters>1217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Devin</dc:creator>
  <cp:keywords/>
  <dc:description/>
  <cp:lastModifiedBy>Quentin Etienne</cp:lastModifiedBy>
  <cp:revision>20</cp:revision>
  <dcterms:created xsi:type="dcterms:W3CDTF">2023-07-25T13:06:00Z</dcterms:created>
  <dcterms:modified xsi:type="dcterms:W3CDTF">2023-07-26T16:08:00Z</dcterms:modified>
</cp:coreProperties>
</file>